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95" w:lineRule="auto" w:before="149"/>
        <w:ind w:left="720" w:right="190"/>
      </w:pPr>
      <w:r>
        <w:t>TCTemp1000是一款坚固耐用、可潜水、电池供电、基于热电偶的温度数据记录仪。</w:t>
      </w:r>
      <w:r>
        <w:t>这是一个独立的，紧凑的便携式，易于使用的</w:t>
      </w:r>
      <w:r>
        <w:rPr>
          <w:spacing w:val="-2"/>
        </w:rPr>
        <w:t>设备</w:t>
      </w:r>
      <w:r>
        <w:rPr>
          <w:spacing w:val="-2"/>
        </w:rPr>
        <w:t>，</w:t>
      </w:r>
      <w:r>
        <w:rPr>
          <w:spacing w:val="-2"/>
        </w:rPr>
        <w:t>测量</w:t>
      </w:r>
      <w:r>
        <w:rPr>
          <w:spacing w:val="-2"/>
        </w:rPr>
        <w:t>和</w:t>
      </w:r>
      <w:r>
        <w:rPr>
          <w:spacing w:val="-2"/>
        </w:rPr>
        <w:t>记录</w:t>
      </w:r>
      <w:r>
        <w:rPr>
          <w:spacing w:val="-2"/>
        </w:rPr>
        <w:t>多达</w:t>
      </w:r>
      <w:r>
        <w:rPr>
          <w:spacing w:val="-2"/>
        </w:rPr>
        <w:t>16,383</w:t>
      </w:r>
      <w:r>
        <w:rPr>
          <w:spacing w:val="-2"/>
        </w:rPr>
        <w:t>测量</w:t>
      </w:r>
      <w:r>
        <w:rPr>
          <w:spacing w:val="-2"/>
        </w:rPr>
        <w:t>每个</w:t>
      </w:r>
      <w:r>
        <w:rPr>
          <w:spacing w:val="-2"/>
        </w:rPr>
        <w:t>通道。</w:t>
      </w:r>
      <w:r>
        <w:rPr>
          <w:spacing w:val="-2"/>
        </w:rPr>
        <w:t>存储</w:t>
      </w:r>
      <w:r>
        <w:t>介质是非易失性固态存储器，即使电池放电，也能提供最大的数据安全性</w:t>
      </w:r>
      <w:r>
        <w:t>它的实时时钟确保所有数据都有时间和日期戳。</w:t>
      </w:r>
      <w:r>
        <w:rPr>
          <w:spacing w:val="-6"/>
        </w:rPr>
        <w:t xml:space="preserve"> </w:t>
      </w:r>
      <w:r>
        <w:t>TCTemp1000</w:t>
      </w:r>
      <w:r>
        <w:t>即使</w:t>
      </w:r>
      <w:r>
        <w:t>在恶劣的环境中</w:t>
      </w:r>
      <w:r>
        <w:rPr>
          <w:spacing w:val="-2"/>
        </w:rPr>
        <w:t>也可以快速轻松地进行数据检索。</w:t>
      </w:r>
    </w:p>
    <w:p>
      <w:pPr>
        <w:pStyle w:val="P68B1DB1-BodyText1"/>
        <w:spacing w:line="295" w:lineRule="auto" w:before="88"/>
        <w:ind w:left="720"/>
      </w:pPr>
      <w:r>
        <w:t>通过用户友好的MadgeTech数据记录器软件，TCTemp1000可以轻松连接到PC以下载收集的数据。</w:t>
      </w:r>
      <w:r>
        <w:t>MadgeTech软件能够以图形、表格和摘要格式显示数据，以进行报告。</w:t>
      </w:r>
      <w:r>
        <w:t>数据还可以轻松导出到Excel®中，以进行进一步的分析和计算。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7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378134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88"/>
        <w:rPr>
          <w:rFonts w:ascii="Tahoma"/>
          <w:sz w:val="28"/>
        </w:rPr>
      </w:pPr>
    </w:p>
    <w:p>
      <w:pPr>
        <w:spacing w:before="0"/>
        <w:ind w:left="0" w:right="126" w:firstLine="0"/>
        <w:jc w:val="righ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348093</wp:posOffset>
                </wp:positionV>
                <wp:extent cx="71120" cy="133350"/>
                <wp:effectExtent l="0" t="0" r="0" b="0"/>
                <wp:wrapNone/>
                <wp:docPr id="4" name="文本框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文本框4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2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统计</w:t>
      </w:r>
    </w:p>
    <w:p>
      <w:pPr>
        <w:pStyle w:val="Heading1"/>
        <w:spacing w:before="136"/>
      </w:pPr>
      <w:r>
        <w:br w:type="column"/>
      </w:r>
      <w:r>
        <w:rPr>
          <w:color w:val="002A5C"/>
          <w:spacing w:val="-2"/>
          <w:w w:val="110"/>
        </w:rPr>
        <w:t>特征</w:t>
      </w:r>
    </w:p>
    <w:p>
      <w:pPr>
        <w:pStyle w:val="P68B1DB1-ListParagraph3"/>
        <w:numPr>
          <w:ilvl w:val="0"/>
          <w:numId w:val="1"/>
        </w:numPr>
        <w:tabs>
          <w:tab w:pos="657" w:val="left" w:leader="none"/>
        </w:tabs>
        <w:spacing w:line="240" w:lineRule="auto" w:before="110" w:after="0"/>
        <w:ind w:left="657" w:right="0" w:hanging="179"/>
        <w:jc w:val="left"/>
        <w:rPr>
          <w:sz w:val="20"/>
        </w:rPr>
      </w:pPr>
      <w:r>
        <w:t>崎岖</w:t>
      </w:r>
    </w:p>
    <w:p>
      <w:pPr>
        <w:pStyle w:val="P68B1DB1-ListParagraph3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t>潜水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t>实时</w:t>
      </w:r>
      <w:r>
        <w:rPr>
          <w:spacing w:val="-2"/>
        </w:rPr>
        <w:t>操作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t>低</w:t>
      </w:r>
      <w:r>
        <w:rPr>
          <w:spacing w:val="-4"/>
        </w:rPr>
        <w:t>成本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t>可编程开始</w:t>
      </w:r>
      <w:r>
        <w:rPr>
          <w:spacing w:val="-4"/>
        </w:rPr>
        <w:t>时间</w:t>
      </w:r>
    </w:p>
    <w:p>
      <w:pPr>
        <w:pStyle w:val="P68B1DB1-ListParagraph3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t>可重用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5" w:after="0"/>
        <w:ind w:left="657" w:right="0" w:hanging="179"/>
        <w:jc w:val="left"/>
        <w:rPr>
          <w:sz w:val="20"/>
        </w:rPr>
      </w:pPr>
      <w:r>
        <w:rPr>
          <w:spacing w:val="-5"/>
        </w:rPr>
        <w:t>用户</w:t>
      </w:r>
      <w:r>
        <w:rPr>
          <w:spacing w:val="-2"/>
        </w:rPr>
        <w:t>友好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spacing w:val="-6"/>
        </w:rPr>
        <w:t>记忆</w:t>
      </w:r>
      <w:r>
        <w:rPr>
          <w:spacing w:val="-4"/>
        </w:rPr>
        <w:t>包装</w:t>
      </w:r>
    </w:p>
    <w:p>
      <w:pPr>
        <w:pStyle w:val="BodyText"/>
        <w:spacing w:before="25"/>
      </w:pPr>
    </w:p>
    <w:p>
      <w:pPr>
        <w:pStyle w:val="P68B1DB1-Heading15"/>
      </w:pPr>
      <w:r>
        <w:t>好处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110" w:after="0"/>
        <w:ind w:left="657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5" w:after="0"/>
        <w:ind w:left="657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spacing w:val="-2"/>
        </w:rPr>
        <w:t>长期实地部署</w:t>
      </w:r>
    </w:p>
    <w:p>
      <w:pPr>
        <w:pStyle w:val="BodyText"/>
        <w:spacing w:before="25"/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457200</wp:posOffset>
                </wp:positionH>
                <wp:positionV relativeFrom="paragraph">
                  <wp:posOffset>-18014</wp:posOffset>
                </wp:positionV>
                <wp:extent cx="4495800" cy="1270"/>
                <wp:effectExtent l="0" t="0" r="0" b="0"/>
                <wp:wrapNone/>
                <wp:docPr id="5" name="图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图5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93F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</w:rPr>
        <w:t>应用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110" w:after="0"/>
        <w:ind w:left="657" w:right="0" w:hanging="179"/>
        <w:jc w:val="left"/>
        <w:rPr>
          <w:sz w:val="20"/>
        </w:rPr>
      </w:pPr>
      <w:r>
        <w:rPr>
          <w:spacing w:val="-4"/>
        </w:rPr>
        <w:t>极端温度监测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4086694</wp:posOffset>
                </wp:positionH>
                <wp:positionV relativeFrom="paragraph">
                  <wp:posOffset>41373</wp:posOffset>
                </wp:positionV>
                <wp:extent cx="866775" cy="732155"/>
                <wp:effectExtent l="0" t="0" r="0" b="0"/>
                <wp:wrapNone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图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6"/>
          <w:sz w:val="20"/>
        </w:rPr>
        <w:t>仓库</w:t>
      </w:r>
      <w:r>
        <w:rPr>
          <w:color w:val="231F20"/>
          <w:spacing w:val="-2"/>
          <w:sz w:val="20"/>
        </w:rPr>
        <w:t>监控</w:t>
      </w:r>
    </w:p>
    <w:p>
      <w:pPr>
        <w:pStyle w:val="P68B1DB1-ListParagraph6"/>
        <w:numPr>
          <w:ilvl w:val="0"/>
          <w:numId w:val="1"/>
        </w:numPr>
        <w:tabs>
          <w:tab w:pos="657" w:val="left" w:leader="none"/>
        </w:tabs>
        <w:spacing w:line="240" w:lineRule="auto" w:before="35" w:after="0"/>
        <w:ind w:left="657" w:right="0" w:hanging="179"/>
        <w:jc w:val="left"/>
        <w:rPr>
          <w:sz w:val="20"/>
        </w:rPr>
      </w:pPr>
      <w:r>
        <w:t>HVAC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spacing w:val="-2"/>
        </w:rPr>
        <w:t>医疗和制药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w w:val="90"/>
        </w:rPr>
        <w:t>井</w:t>
      </w:r>
      <w:r>
        <w:rPr>
          <w:spacing w:val="-2"/>
        </w:rPr>
        <w:t>监测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spacing w:val="-2"/>
        </w:rPr>
        <w:t>敌对环境监测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104350</wp:posOffset>
                </wp:positionV>
                <wp:extent cx="866775" cy="732155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20"/>
        </w:rPr>
        <w:t>环境</w:t>
      </w:r>
      <w:r>
        <w:rPr>
          <w:color w:val="231F20"/>
          <w:spacing w:val="-2"/>
          <w:sz w:val="20"/>
        </w:rPr>
        <w:t>研究</w:t>
      </w:r>
    </w:p>
    <w:p>
      <w:pPr>
        <w:pStyle w:val="P68B1DB1-ListParagraph4"/>
        <w:numPr>
          <w:ilvl w:val="0"/>
          <w:numId w:val="1"/>
        </w:numPr>
        <w:tabs>
          <w:tab w:pos="657" w:val="left" w:leader="none"/>
        </w:tabs>
        <w:spacing w:line="240" w:lineRule="auto" w:before="36" w:after="0"/>
        <w:ind w:left="657" w:right="0" w:hanging="179"/>
        <w:jc w:val="left"/>
        <w:rPr>
          <w:sz w:val="20"/>
        </w:rPr>
      </w:pPr>
      <w:r>
        <w:rPr>
          <w:spacing w:val="-2"/>
        </w:rPr>
        <w:t>实施</w:t>
      </w:r>
      <w:r>
        <w:rPr>
          <w:spacing w:val="-2"/>
        </w:rPr>
        <w:t>HACCP</w:t>
      </w:r>
      <w:r>
        <w:rPr>
          <w:spacing w:val="-2"/>
        </w:rPr>
        <w:t>计划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642" w:space="40"/>
            <w:col w:w="4558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rPr>
          <w:sz w:val="19"/>
        </w:rPr>
      </w:pPr>
    </w:p>
    <w:p>
      <w:pPr>
        <w:spacing w:before="0"/>
        <w:ind w:left="199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203142</wp:posOffset>
                </wp:positionV>
                <wp:extent cx="866775" cy="732155"/>
                <wp:effectExtent l="0" t="0" r="0" b="0"/>
                <wp:wrapNone/>
                <wp:docPr id="57" name="组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组57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7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21"/>
        <w:rPr>
          <w:rFonts w:ascii="Tahoma"/>
        </w:rPr>
      </w:pPr>
    </w:p>
    <w:p>
      <w:pPr>
        <w:pStyle w:val="P68B1DB1-ListParagraph4"/>
        <w:numPr>
          <w:ilvl w:val="1"/>
          <w:numId w:val="1"/>
        </w:numPr>
        <w:tabs>
          <w:tab w:pos="899" w:val="left" w:leader="none"/>
        </w:tabs>
        <w:spacing w:line="242" w:lineRule="exact" w:before="0" w:after="0"/>
        <w:ind w:left="8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3"/>
        <w:numPr>
          <w:ilvl w:val="1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t>统计</w:t>
      </w:r>
    </w:p>
    <w:p>
      <w:pPr>
        <w:pStyle w:val="P68B1DB1-ListParagraph4"/>
        <w:numPr>
          <w:ilvl w:val="1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4"/>
        <w:numPr>
          <w:ilvl w:val="1"/>
          <w:numId w:val="1"/>
        </w:numPr>
        <w:tabs>
          <w:tab w:pos="899" w:val="left" w:leader="none"/>
        </w:tabs>
        <w:spacing w:line="241" w:lineRule="exact" w:before="0" w:after="0"/>
        <w:ind w:left="8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3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2"/>
        <w:rPr>
          <w:rFonts w:ascii="Tahoma"/>
          <w:sz w:val="19"/>
        </w:rPr>
      </w:pPr>
    </w:p>
    <w:p>
      <w:pPr>
        <w:pStyle w:val="P68B1DB1-ListParagraph4"/>
        <w:numPr>
          <w:ilvl w:val="2"/>
          <w:numId w:val="1"/>
        </w:numPr>
        <w:tabs>
          <w:tab w:pos="1198" w:val="left" w:leader="none"/>
        </w:tabs>
        <w:spacing w:line="242" w:lineRule="exact" w:before="0" w:after="0"/>
        <w:ind w:left="1198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4"/>
        <w:numPr>
          <w:ilvl w:val="2"/>
          <w:numId w:val="1"/>
        </w:numPr>
        <w:tabs>
          <w:tab w:pos="1198" w:val="left" w:leader="none"/>
        </w:tabs>
        <w:spacing w:line="240" w:lineRule="exact" w:before="0" w:after="0"/>
        <w:ind w:left="1198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4"/>
        <w:numPr>
          <w:ilvl w:val="2"/>
          <w:numId w:val="1"/>
        </w:numPr>
        <w:tabs>
          <w:tab w:pos="1198" w:val="left" w:leader="none"/>
        </w:tabs>
        <w:spacing w:line="240" w:lineRule="exact" w:before="0" w:after="0"/>
        <w:ind w:left="1198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4"/>
        <w:numPr>
          <w:ilvl w:val="2"/>
          <w:numId w:val="1"/>
        </w:numPr>
        <w:tabs>
          <w:tab w:pos="1198" w:val="left" w:leader="none"/>
        </w:tabs>
        <w:spacing w:line="241" w:lineRule="exact" w:before="0" w:after="0"/>
        <w:ind w:left="1198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203035</wp:posOffset>
                </wp:positionV>
                <wp:extent cx="866775" cy="732155"/>
                <wp:effectExtent l="0" t="0" r="0" b="0"/>
                <wp:wrapNone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1" name="图像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图形62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2" w:lineRule="exact" w:before="0" w:after="0"/>
        <w:ind w:left="8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图像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7977" y="305308"/>
                            <a:ext cx="2557046" cy="179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文本框71"/>
                        <wps:cNvSpPr txBox="1"/>
                        <wps:spPr>
                          <a:xfrm>
                            <a:off x="0" y="0"/>
                            <a:ext cx="7772400" cy="2573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00"/>
                                <w:rPr>
                                  <w:rFonts w:ascii="Tahoma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6" w:lineRule="exact" w:before="0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60"/>
                                </w:rPr>
                                <w:pStyle w:val="P68B1DB1-Normal7"/>
                              </w:pPr>
                              <w:r>
                                <w:t>TCTemp1000</w:t>
                              </w:r>
                            </w:p>
                            <w:p>
                              <w:pPr>
                                <w:spacing w:line="184" w:lineRule="auto" w:before="61"/>
                                <w:ind w:left="720" w:right="5795" w:firstLine="0"/>
                                <w:jc w:val="left"/>
                                <w:rPr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2"/>
                                </w:rPr>
                                <w:t>基于热电偶的</w:t>
                              </w:r>
                              <w:r>
                                <w:rPr>
                                  <w:spacing w:val="-2"/>
                                </w:rPr>
                                <w:t>温度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20"/>
        </w:rPr>
        <w:t>致死率</w:t>
      </w:r>
      <w:r>
        <w:rPr>
          <w:color w:val="231F20"/>
          <w:spacing w:val="-2"/>
          <w:sz w:val="20"/>
        </w:rPr>
        <w:t>方程</w:t>
      </w:r>
      <w:r>
        <w:rPr>
          <w:color w:val="231F20"/>
          <w:spacing w:val="-2"/>
          <w:sz w:val="20"/>
        </w:rPr>
        <w:t>（F0，</w:t>
      </w:r>
      <w:r>
        <w:rPr>
          <w:color w:val="231F20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2" w:lineRule="exact" w:before="0" w:after="0"/>
        <w:ind w:left="783" w:right="0" w:hanging="179"/>
        <w:jc w:val="left"/>
        <w:rPr>
          <w:sz w:val="20"/>
        </w:rPr>
      </w:pPr>
      <w:r>
        <w:br w:type="column"/>
      </w:r>
      <w:r>
        <w:rPr>
          <w:color w:val="231F20"/>
          <w:sz w:val="20"/>
        </w:rPr>
        <w:t>摘要</w:t>
      </w:r>
      <w:r>
        <w:rPr>
          <w:color w:val="231F20"/>
          <w:spacing w:val="-4"/>
          <w:sz w:val="20"/>
        </w:rPr>
        <w:t>视图</w:t>
      </w:r>
    </w:p>
    <w:p>
      <w:pPr>
        <w:spacing w:line="240" w:lineRule="auto" w:before="130"/>
        <w:rPr>
          <w:sz w:val="1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9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pStyle w:val="BodyText"/>
        <w:rPr>
          <w:rFonts w:ascii="Tahoma"/>
          <w:sz w:val="32"/>
        </w:rPr>
      </w:pP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725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-563422</wp:posOffset>
                </wp:positionV>
                <wp:extent cx="7772400" cy="427990"/>
                <wp:effectExtent l="0" t="0" r="0" b="0"/>
                <wp:wrapNone/>
                <wp:docPr id="72" name="组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组72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3" name="图表73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本框74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0"/>
                              </w:pPr>
                              <w:r>
                                <w:t>TCTemp1000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  <w:sz w:val="32"/>
        </w:rP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420484</wp:posOffset>
                </wp:positionH>
                <wp:positionV relativeFrom="paragraph">
                  <wp:posOffset>248156</wp:posOffset>
                </wp:positionV>
                <wp:extent cx="3437890" cy="1055370"/>
                <wp:effectExtent l="0" t="0" r="0" b="0"/>
                <wp:wrapNone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437890" cy="1055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78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1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内部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通道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2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>
                                  <w:pPr>
                                    <w:pStyle w:val="P68B1DB1-TableParagraph13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°C至+80 °C（-40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0.1 °C（0.18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4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±0.5 °C（±0.9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校准精度范围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143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 °C至50 °C（32 °F至122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3924985</wp:posOffset>
                </wp:positionH>
                <wp:positionV relativeFrom="paragraph">
                  <wp:posOffset>248156</wp:posOffset>
                </wp:positionV>
                <wp:extent cx="3427729" cy="4178300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417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3"/>
                                    <w:spacing w:line="182" w:lineRule="exact"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立即开始</w:t>
                                  </w:r>
                                </w:p>
                                <w:p>
                                  <w:pPr>
                                    <w:pStyle w:val="P68B1DB1-TableParagraph13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延迟启动长达6个月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每个通道16，383个读数;总共32，766个读数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每2秒1次读数，最多每12小时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包含3.6 V锂电池;用户可更换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2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line="182" w:lineRule="exact"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1年典型</w:t>
                                  </w:r>
                                </w:p>
                                <w:p>
                                  <w:pPr>
                                    <w:pStyle w:val="P68B1DB1-TableParagraph13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+25 °C（+77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时的1分钟读取速率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日期和时间戳°C，°F，°R，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line="235" w:lineRule="auto" w:before="56"/>
                                    <w:ind w:right="12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+20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（+68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°F）</w:t>
                                  </w:r>
                                  <w:r>
                                    <w:t>（RS232端口未使用）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2，400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line="235" w:lineRule="auto" w:before="146"/>
                                    <w:ind w:righ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line="182" w:lineRule="exact"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°C至+80 °C（-40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3"/>
                                    <w:spacing w:line="235" w:lineRule="auto" w:before="2"/>
                                    <w:ind w:right="1204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RH至100% RH非冷凝潜水至150英尺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4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9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t>IP68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7.4 in x 1.2 in直径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（188毫米x 31毫米直径）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13盎司（369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303不锈钢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002A5C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spacing w:after="0"/>
        <w:sectPr>
          <w:pgSz w:w="12240" w:h="15840"/>
          <w:pgMar w:top="280" w:bottom="0" w:left="0" w:right="0"/>
        </w:sectPr>
      </w:pPr>
    </w:p>
    <w:p>
      <w:pPr>
        <w:spacing w:before="99"/>
        <w:ind w:left="722" w:right="0" w:firstLine="0"/>
        <w:jc w:val="left"/>
        <w:rPr>
          <w:sz w:val="15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-2966976</wp:posOffset>
                </wp:positionV>
                <wp:extent cx="3427729" cy="2995930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299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1193"/>
                              <w:gridCol w:w="1193"/>
                              <w:gridCol w:w="1177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27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1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远程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渠道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line="235" w:lineRule="auto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远程通道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3"/>
                                    <w:spacing w:before="16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J、K、T、E、R、S、B、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line="235" w:lineRule="auto" w:before="70"/>
                                    <w:ind w:right="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连接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1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母超小型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（SMP）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2"/>
                                    <w:spacing w:line="235" w:lineRule="auto" w:before="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>冷端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补偿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3"/>
                                </w:tcPr>
                                <w:p>
                                  <w:pPr>
                                    <w:pStyle w:val="P68B1DB1-TableParagraph13"/>
                                    <w:spacing w:before="1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自动，基于内部通道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热电偶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温度范围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（°C）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 xml:space="preserve">准确度 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-210至+760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ind w:left="5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-270至+1370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-270至+400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ind w:left="5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-270至+980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ind w:left="5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-50至+1760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±2.0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5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-50至+1760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±2.0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ind w:left="5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+50至+1820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±2.0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-270至+1300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ind w:lef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15"/>
        </w:rPr>
        <w:t xml:space="preserve">* 热电偶</w:t>
      </w:r>
      <w:r>
        <w:rPr>
          <w:color w:val="231F20"/>
          <w:spacing w:val="-2"/>
          <w:sz w:val="15"/>
        </w:rPr>
        <w:t>精度</w:t>
      </w:r>
      <w:r>
        <w:rPr>
          <w:color w:val="231F20"/>
          <w:spacing w:val="-2"/>
          <w:sz w:val="15"/>
        </w:rPr>
        <w:t>指定</w:t>
      </w:r>
      <w:r>
        <w:rPr>
          <w:color w:val="231F20"/>
          <w:spacing w:val="-2"/>
          <w:sz w:val="15"/>
        </w:rPr>
        <w:t>为</w:t>
      </w:r>
      <w:r>
        <w:rPr>
          <w:color w:val="231F20"/>
          <w:spacing w:val="-2"/>
          <w:sz w:val="15"/>
        </w:rPr>
        <w:t>24</w:t>
      </w:r>
      <w:r>
        <w:rPr>
          <w:color w:val="231F20"/>
          <w:spacing w:val="-2"/>
          <w:sz w:val="15"/>
        </w:rPr>
        <w:t>AWG，</w:t>
      </w:r>
      <w:r>
        <w:rPr>
          <w:color w:val="231F20"/>
          <w:spacing w:val="-2"/>
          <w:sz w:val="15"/>
        </w:rPr>
        <w:t>3</w:t>
      </w:r>
      <w:r>
        <w:rPr>
          <w:color w:val="231F20"/>
          <w:spacing w:val="-2"/>
          <w:sz w:val="15"/>
        </w:rPr>
        <w:t>米</w:t>
      </w:r>
      <w:r>
        <w:rPr>
          <w:color w:val="231F20"/>
          <w:spacing w:val="-2"/>
          <w:sz w:val="15"/>
        </w:rPr>
        <w:t>热电偶。</w:t>
      </w:r>
    </w:p>
    <w:p>
      <w:pPr>
        <w:spacing w:line="235" w:lineRule="auto" w:before="89"/>
        <w:ind w:left="722" w:right="0" w:firstLine="0"/>
        <w:jc w:val="left"/>
        <w:rPr>
          <w:sz w:val="15"/>
        </w:rPr>
        <w:pStyle w:val="P68B1DB1-Normal25"/>
      </w:pPr>
      <w:r>
        <w:rPr>
          <w:spacing w:val="-2"/>
        </w:rPr>
        <w:t>注：器件上快速变化的温度或温度梯度可能会</w:t>
      </w:r>
      <w:r>
        <w:t>对冷端补偿产生不利影响</w:t>
      </w:r>
    </w:p>
    <w:p>
      <w:pPr>
        <w:spacing w:line="240" w:lineRule="auto" w:before="28"/>
        <w:rPr>
          <w:sz w:val="15"/>
        </w:rPr>
      </w:pPr>
      <w:r>
        <w:br w:type="column"/>
      </w:r>
    </w:p>
    <w:p>
      <w:pPr>
        <w:spacing w:line="223" w:lineRule="auto" w:before="0"/>
        <w:ind w:left="327" w:right="1024" w:firstLine="0"/>
        <w:jc w:val="left"/>
        <w:rPr>
          <w:sz w:val="15"/>
        </w:rPr>
        <w:pStyle w:val="P68B1DB1-Normal26"/>
      </w:pPr>
      <w:r>
        <w:rPr>
          <w:color w:val="E12726"/>
          <w:spacing w:val="-2"/>
        </w:rPr>
        <w:t>电池</w:t>
      </w:r>
      <w:r>
        <w:rPr>
          <w:color w:val="E12726"/>
          <w:spacing w:val="-2"/>
        </w:rPr>
        <w:t>损坏：</w:t>
      </w:r>
      <w:r>
        <w:rPr>
          <w:color w:val="231F20"/>
          <w:spacing w:val="-2"/>
        </w:rPr>
        <w:t>火灾、</w:t>
      </w:r>
      <w:r>
        <w:rPr>
          <w:color w:val="231F20"/>
          <w:spacing w:val="-2"/>
        </w:rPr>
        <w:t>爆炸</w:t>
      </w:r>
      <w:r>
        <w:rPr>
          <w:color w:val="231F20"/>
          <w:spacing w:val="-2"/>
        </w:rPr>
        <w:t>和</w:t>
      </w:r>
      <w:r>
        <w:rPr>
          <w:color w:val="231F20"/>
          <w:spacing w:val="-2"/>
        </w:rPr>
        <w:t>严重</w:t>
      </w:r>
      <w:r>
        <w:rPr>
          <w:color w:val="231F20"/>
          <w:spacing w:val="-2"/>
        </w:rPr>
        <w:t>烧伤</w:t>
      </w:r>
      <w:r>
        <w:rPr>
          <w:color w:val="231F20"/>
          <w:spacing w:val="-2"/>
        </w:rPr>
        <w:t>危险。</w:t>
      </w:r>
      <w:r>
        <w:rPr>
          <w:color w:val="231F20"/>
          <w:spacing w:val="-2"/>
        </w:rPr>
        <w:t>不得</w:t>
      </w:r>
      <w:r>
        <w:rPr>
          <w:color w:val="231F20"/>
          <w:spacing w:val="-2"/>
        </w:rPr>
        <w:t>短路</w:t>
      </w:r>
      <w:r>
        <w:rPr>
          <w:color w:val="231F20"/>
        </w:rPr>
        <w:t>、充电、强行排放、压碎、穿透或焚烧。</w:t>
      </w:r>
      <w:r>
        <w:rPr>
          <w:color w:val="231F20"/>
        </w:rPr>
        <w:t xml:space="preserve">如果温度超过80 °C（176 °F），电池可能会泄漏或爆炸</w:t>
      </w:r>
    </w:p>
    <w:p>
      <w:pPr>
        <w:spacing w:after="0" w:line="223" w:lineRule="auto"/>
        <w:jc w:val="left"/>
        <w:rPr>
          <w:sz w:val="15"/>
        </w:rPr>
        <w:sectPr>
          <w:type w:val="continuous"/>
          <w:pgSz w:w="12240" w:h="15840"/>
          <w:pgMar w:top="0" w:bottom="280" w:left="0" w:right="0"/>
          <w:cols w:num="2" w:equalWidth="0">
            <w:col w:w="5874" w:space="40"/>
            <w:col w:w="6326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rPr>
          <w:sz w:val="26"/>
        </w:rPr>
      </w:pPr>
    </w:p>
    <w:p>
      <w:pPr>
        <w:pStyle w:val="P68B1DB1-Heading127"/>
        <w:ind w:left="7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>TCTemp1000</w:t>
            </w:r>
          </w:p>
        </w:tc>
        <w:tc>
          <w:tcPr>
            <w:tcW w:w="1455" w:type="dxa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4"/>
              </w:rPr>
              <w:t xml:space="preserve">PN 901620-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2"/>
              </w:rPr>
              <w:t>基于热电偶的温度数据记录仪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4"/>
              </w:rPr>
              <w:t xml:space="preserve">PN 900298-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2"/>
              </w:rPr>
              <w:t>USB</w:t>
            </w:r>
            <w:r>
              <w:rPr>
                <w:spacing w:val="-2"/>
              </w:rPr>
              <w:t>接口</w:t>
            </w:r>
            <w:r>
              <w:rPr>
                <w:spacing w:val="-2"/>
              </w:rPr>
              <w:t>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2"/>
              <w:spacing w:before="53"/>
              <w:ind w:left="80"/>
              <w:rPr>
                <w:b/>
                <w:sz w:val="15"/>
              </w:rPr>
            </w:pPr>
            <w:r>
              <w:t>公司</w:t>
            </w:r>
            <w:r>
              <w:rPr>
                <w:spacing w:val="-4"/>
              </w:rPr>
              <w:t>简介</w:t>
            </w:r>
          </w:p>
        </w:tc>
        <w:tc>
          <w:tcPr>
            <w:tcW w:w="1455" w:type="dxa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4"/>
              </w:rPr>
              <w:t xml:space="preserve">PN 901747-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3"/>
              <w:spacing w:before="53"/>
              <w:rPr>
                <w:sz w:val="15"/>
              </w:rPr>
            </w:pPr>
            <w:r>
              <w:rPr>
                <w:spacing w:val="-2"/>
              </w:rPr>
              <w:t>TCTemp1000的更换电池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0"/>
        <w:rPr>
          <w:sz w:val="18"/>
        </w:rPr>
      </w:pPr>
    </w:p>
    <w:p>
      <w:pPr>
        <w:spacing w:before="0"/>
        <w:ind w:left="3703" w:right="0" w:firstLine="0"/>
        <w:jc w:val="left"/>
        <w:rPr>
          <w:rFonts w:ascii="Arial" w:hAnsi="Arial"/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458584</wp:posOffset>
                </wp:positionH>
                <wp:positionV relativeFrom="paragraph">
                  <wp:posOffset>-171513</wp:posOffset>
                </wp:positionV>
                <wp:extent cx="1827530" cy="320675"/>
                <wp:effectExtent l="0" t="0" r="0" b="0"/>
                <wp:wrapNone/>
                <wp:docPr id="78" name="组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组78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9" name="图形79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pacing w:val="-6"/>
          <w:sz w:val="18"/>
        </w:rPr>
        <w:t>■电话：+86</w:t>
      </w:r>
      <w:r>
        <w:rPr>
          <w:rFonts w:ascii="Arial" w:hAnsi="Arial"/>
          <w:spacing w:val="-6"/>
          <w:sz w:val="18"/>
        </w:rPr>
        <w:t>755-8420</w:t>
      </w:r>
      <w:r>
        <w:rPr>
          <w:rFonts w:ascii="Arial" w:hAnsi="Arial"/>
          <w:spacing w:val="-6"/>
          <w:sz w:val="18"/>
        </w:rPr>
        <w:t>0058</w:t>
      </w:r>
      <w:r>
        <w:rPr>
          <w:rFonts w:ascii="Arial" w:hAnsi="Arial"/>
          <w:spacing w:val="-6"/>
          <w:sz w:val="18"/>
        </w:rPr>
        <w:t>■传真：+86</w:t>
      </w:r>
      <w:r>
        <w:rPr>
          <w:rFonts w:ascii="Arial" w:hAnsi="Arial"/>
          <w:spacing w:val="-6"/>
          <w:sz w:val="18"/>
        </w:rPr>
        <w:t>755-2822</w:t>
      </w:r>
      <w:r>
        <w:rPr>
          <w:rFonts w:ascii="Arial" w:hAnsi="Arial"/>
          <w:spacing w:val="-6"/>
          <w:sz w:val="18"/>
        </w:rPr>
        <w:t>5583</w:t>
      </w:r>
      <w:r>
        <w:rPr>
          <w:rFonts w:ascii="Arial" w:hAnsi="Arial"/>
          <w:spacing w:val="-6"/>
          <w:sz w:val="18"/>
        </w:rPr>
        <w:t>■</w:t>
      </w:r>
      <w:hyperlink r:id="rId17">
        <w:r>
          <w:rPr>
            <w:rFonts w:ascii="Arial" w:hAnsi="Arial"/>
            <w:spacing w:val="-6"/>
            <w:sz w:val="18"/>
          </w:rPr>
          <w:t>E-mail:sales@eofirm.com</w:t>
        </w:r>
      </w:hyperlink>
      <w:r>
        <w:rPr>
          <w:rFonts w:ascii="Arial" w:hAnsi="Arial"/>
          <w:spacing w:val="-6"/>
          <w:sz w:val="18"/>
        </w:rPr>
        <w:t>■</w:t>
      </w:r>
      <w:hyperlink r:id="rId18">
        <w:r>
          <w:rPr>
            <w:rFonts w:ascii="Arial" w:hAnsi="Arial"/>
            <w:spacing w:val="-6"/>
            <w:sz w:val="18"/>
          </w:rP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8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4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2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8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6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44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657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72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Normal2">
    <w:name w:val="P68B1DB1-Normal2"/>
    <w:basedOn w:val="Normal"/>
    <w:rPr>
      <w:b/>
      <w:color w:val="FFFFFF"/>
      <w:spacing w:val="-10"/>
      <w:sz w:val="21"/>
    </w:rPr>
  </w:style>
  <w:style w:type="paragraph" w:styleId="P68B1DB1-ListParagraph3">
    <w:name w:val="P68B1DB1-ListParagraph3"/>
    <w:basedOn w:val="ListParagraph"/>
    <w:rPr>
      <w:color w:val="231F20"/>
      <w:spacing w:val="-2"/>
      <w:sz w:val="20"/>
    </w:rPr>
  </w:style>
  <w:style w:type="paragraph" w:styleId="P68B1DB1-ListParagraph4">
    <w:name w:val="P68B1DB1-ListParagraph4"/>
    <w:basedOn w:val="ListParagraph"/>
    <w:rPr>
      <w:color w:val="231F20"/>
      <w:sz w:val="20"/>
    </w:rPr>
  </w:style>
  <w:style w:type="paragraph" w:styleId="P68B1DB1-Heading15">
    <w:name w:val="P68B1DB1-Heading15"/>
    <w:basedOn w:val="Heading1"/>
    <w:rPr>
      <w:color w:val="002A5C"/>
      <w:spacing w:val="-2"/>
      <w:w w:val="110"/>
    </w:rPr>
  </w:style>
  <w:style w:type="paragraph" w:styleId="P68B1DB1-ListParagraph6">
    <w:name w:val="P68B1DB1-ListParagraph6"/>
    <w:basedOn w:val="ListParagraph"/>
    <w:rPr>
      <w:color w:val="231F20"/>
      <w:spacing w:val="-4"/>
      <w:sz w:val="20"/>
    </w:rPr>
  </w:style>
  <w:style w:type="paragraph" w:styleId="P68B1DB1-Normal7">
    <w:name w:val="P68B1DB1-Normal7"/>
    <w:basedOn w:val="Normal"/>
    <w:rPr>
      <w:rFonts w:ascii="Tahoma"/>
      <w:color w:val="FFFFFF"/>
      <w:spacing w:val="-2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Normal9">
    <w:name w:val="P68B1DB1-Normal9"/>
    <w:basedOn w:val="Normal"/>
    <w:rPr>
      <w:rFonts w:ascii="Tahoma"/>
      <w:color w:val="898A8D"/>
      <w:spacing w:val="-2"/>
      <w:w w:val="105"/>
      <w:sz w:val="19"/>
    </w:rPr>
  </w:style>
  <w:style w:type="paragraph" w:styleId="P68B1DB1-Normal10">
    <w:name w:val="P68B1DB1-Normal10"/>
    <w:basedOn w:val="Normal"/>
    <w:rPr>
      <w:rFonts w:ascii="Tahoma"/>
      <w:color w:val="FFFFFF"/>
      <w:spacing w:val="-2"/>
      <w:sz w:val="36"/>
    </w:rPr>
  </w:style>
  <w:style w:type="paragraph" w:styleId="P68B1DB1-TableParagraph11">
    <w:name w:val="P68B1DB1-TableParagraph11"/>
    <w:basedOn w:val="TableParagraph"/>
    <w:rPr>
      <w:b/>
      <w:color w:val="FFFFFF"/>
      <w:sz w:val="20"/>
    </w:rPr>
  </w:style>
  <w:style w:type="paragraph" w:styleId="P68B1DB1-TableParagraph12">
    <w:name w:val="P68B1DB1-TableParagraph12"/>
    <w:basedOn w:val="TableParagraph"/>
    <w:rPr>
      <w:b/>
      <w:color w:val="231F20"/>
      <w:sz w:val="15"/>
    </w:rPr>
  </w:style>
  <w:style w:type="paragraph" w:styleId="P68B1DB1-TableParagraph13">
    <w:name w:val="P68B1DB1-TableParagraph13"/>
    <w:basedOn w:val="TableParagraph"/>
    <w:rPr>
      <w:color w:val="231F20"/>
      <w:sz w:val="15"/>
    </w:rPr>
  </w:style>
  <w:style w:type="paragraph" w:styleId="P68B1DB1-TableParagraph14">
    <w:name w:val="P68B1DB1-TableParagraph14"/>
    <w:basedOn w:val="TableParagraph"/>
    <w:rPr>
      <w:b/>
      <w:color w:val="231F20"/>
      <w:w w:val="105"/>
      <w:sz w:val="15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w w:val="105"/>
      <w:sz w:val="20"/>
    </w:rPr>
  </w:style>
  <w:style w:type="paragraph" w:styleId="P68B1DB1-TableParagraph16">
    <w:name w:val="P68B1DB1-TableParagraph16"/>
    <w:basedOn w:val="TableParagraph"/>
    <w:rPr>
      <w:b/>
      <w:color w:val="231F20"/>
      <w:spacing w:val="-2"/>
      <w:sz w:val="15"/>
    </w:rPr>
  </w:style>
  <w:style w:type="paragraph" w:styleId="P68B1DB1-TableParagraph17">
    <w:name w:val="P68B1DB1-TableParagraph17"/>
    <w:basedOn w:val="TableParagraph"/>
    <w:rPr>
      <w:color w:val="231F20"/>
      <w:spacing w:val="-5"/>
      <w:sz w:val="15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w w:val="105"/>
      <w:sz w:val="15"/>
    </w:rPr>
  </w:style>
  <w:style w:type="paragraph" w:styleId="P68B1DB1-TableParagraph19">
    <w:name w:val="P68B1DB1-TableParagraph19"/>
    <w:basedOn w:val="TableParagraph"/>
    <w:rPr>
      <w:color w:val="231F20"/>
      <w:spacing w:val="-4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10"/>
      <w:w w:val="150"/>
      <w:sz w:val="15"/>
    </w:rPr>
  </w:style>
  <w:style w:type="paragraph" w:styleId="P68B1DB1-TableParagraph21">
    <w:name w:val="P68B1DB1-TableParagraph21"/>
    <w:basedOn w:val="TableParagraph"/>
    <w:rPr>
      <w:b/>
      <w:color w:val="231F20"/>
      <w:spacing w:val="-10"/>
      <w:w w:val="110"/>
      <w:sz w:val="15"/>
    </w:rPr>
  </w:style>
  <w:style w:type="paragraph" w:styleId="P68B1DB1-TableParagraph22">
    <w:name w:val="P68B1DB1-TableParagraph22"/>
    <w:basedOn w:val="TableParagraph"/>
    <w:rPr>
      <w:b/>
      <w:color w:val="231F20"/>
      <w:spacing w:val="-10"/>
      <w:w w:val="105"/>
      <w:sz w:val="15"/>
    </w:rPr>
  </w:style>
  <w:style w:type="paragraph" w:styleId="P68B1DB1-TableParagraph23">
    <w:name w:val="P68B1DB1-TableParagraph23"/>
    <w:basedOn w:val="TableParagraph"/>
    <w:rPr>
      <w:b/>
      <w:color w:val="231F20"/>
      <w:spacing w:val="-10"/>
      <w:w w:val="115"/>
      <w:sz w:val="15"/>
    </w:rPr>
  </w:style>
  <w:style w:type="paragraph" w:styleId="P68B1DB1-TableParagraph24">
    <w:name w:val="P68B1DB1-TableParagraph24"/>
    <w:basedOn w:val="TableParagraph"/>
    <w:rPr>
      <w:b/>
      <w:color w:val="231F20"/>
      <w:spacing w:val="-10"/>
      <w:sz w:val="15"/>
    </w:rPr>
  </w:style>
  <w:style w:type="paragraph" w:styleId="P68B1DB1-Normal25">
    <w:name w:val="P68B1DB1-Normal25"/>
    <w:basedOn w:val="Normal"/>
    <w:rPr>
      <w:color w:val="231F20"/>
      <w:sz w:val="15"/>
    </w:rPr>
  </w:style>
  <w:style w:type="paragraph" w:styleId="P68B1DB1-Normal26">
    <w:name w:val="P68B1DB1-Normal26"/>
    <w:basedOn w:val="Normal"/>
    <w:rPr>
      <w:sz w:val="15"/>
    </w:rPr>
  </w:style>
  <w:style w:type="paragraph" w:styleId="P68B1DB1-Heading127">
    <w:name w:val="P68B1DB1-Heading127"/>
    <w:basedOn w:val="Heading1"/>
    <w:rPr>
      <w:color w:val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2024-11-11T08:39:14Z</dcterms:created>
  <dcterms:modified xsi:type="dcterms:W3CDTF">2024-11-11T08:39:14Z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15.0</vt:lpwstr>
  </property>
</Properties>
</file>